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intelligence2.xml" ContentType="application/vnd.ms-office.intelligence2+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A1F39D1" w:rsidRDefault="0A1F39D1" w14:paraId="1967891C" w14:textId="27164E7A" w:rsidP="0A1F39D1">
      <w:pPr>
        <w:pStyle w:val="Normal"/>
        <w:rPr>
          <w:rFonts w:ascii="Calibri" w:cs="Calibri" w:eastAsia="Calibri" w:hAnsi="Calibri" w:hAnsiTheme="minorAscii" w:eastAsiaTheme="minorAscii" w:cstheme="minorAscii"/>
          <w:sz w:val="24"/>
          <w:szCs w:val="24"/>
        </w:rPr>
      </w:pPr>
      <w:r w:rsidR="0A1F39D1" w:rsidRPr="0A1F39D1">
        <w:rPr>
          <w:rFonts w:ascii="Calibri" w:cs="Calibri" w:eastAsia="Calibri" w:hAnsi="Calibri" w:hAnsiTheme="minorAscii" w:eastAsiaTheme="minorAscii" w:cstheme="minorAscii"/>
          <w:sz w:val="24"/>
          <w:szCs w:val="24"/>
        </w:rPr>
        <w:t xml:space="preserve">       RESPONSE GUIDE TO EAS MASTER BEEKEEPER ORAL EXAM PREPRED QUESTION 2023</w:t>
      </w:r>
    </w:p>
    <w:p w:rsidR="0A1F39D1" w:rsidRDefault="0A1F39D1" w14:paraId="7994A3C9" w14:textId="1F0DD447" w:rsidP="0A1F39D1">
      <w:pPr>
        <w:pStyle w:val="Normal"/>
        <w:rPr>
          <w:rFonts w:ascii="Calibri" w:cs="Calibri" w:eastAsia="Calibri" w:hAnsi="Calibri" w:hAnsiTheme="minorAscii" w:eastAsiaTheme="minorAscii" w:cstheme="minorAscii"/>
          <w:sz w:val="24"/>
          <w:szCs w:val="24"/>
        </w:rPr>
      </w:pPr>
    </w:p>
    <w:p w:rsidR="0A1F39D1" w:rsidRDefault="0A1F39D1" w14:paraId="356599B7" w14:textId="2B1A6D9C" w:rsidP="0A1F39D1">
      <w:pPr>
        <w:pStyle w:val="Normal"/>
        <w:rPr>
          <w:rFonts w:ascii="Calibri" w:cs="Calibri" w:eastAsia="Calibri" w:hAnsi="Calibri" w:hAnsiTheme="minorAscii" w:eastAsiaTheme="minorAscii" w:cstheme="minorAscii"/>
          <w:sz w:val="24"/>
          <w:szCs w:val="24"/>
        </w:rPr>
      </w:pPr>
      <w:r w:rsidR="0A1F39D1" w:rsidRPr="0A1F39D1">
        <w:rPr>
          <w:rFonts w:ascii="Calibri" w:cs="Calibri" w:eastAsia="Calibri" w:hAnsi="Calibri" w:hAnsiTheme="minorAscii" w:eastAsiaTheme="minorAscii" w:cstheme="minorAscii"/>
          <w:sz w:val="24"/>
          <w:szCs w:val="24"/>
        </w:rPr>
        <w:t>Our scenario this year places the MB in a position to share facts on the VFD to a wid</w:t>
      </w:r>
      <w:r w:rsidR="0A1F39D1" w:rsidRPr="0A1F39D1">
        <w:rPr>
          <w:rFonts w:ascii="Calibri" w:cs="Calibri" w:eastAsia="Calibri" w:hAnsi="Calibri" w:hAnsiTheme="minorAscii" w:eastAsiaTheme="minorAscii" w:cstheme="minorAscii"/>
          <w:sz w:val="24"/>
          <w:szCs w:val="24"/>
        </w:rPr>
        <w:t>e audience.</w:t>
      </w:r>
    </w:p>
    <w:p w:rsidR="0A1F39D1" w:rsidRDefault="0A1F39D1" w14:paraId="3133F69A" w14:textId="6E3D08AF" w:rsidP="0A1F39D1">
      <w:pPr>
        <w:pStyle w:val="Normal"/>
        <w:rPr>
          <w:rFonts w:ascii="Calibri" w:cs="Calibri" w:eastAsia="Calibri" w:hAnsi="Calibri" w:hAnsiTheme="minorAscii" w:eastAsiaTheme="minorAscii" w:cstheme="minorAscii"/>
          <w:sz w:val="24"/>
          <w:szCs w:val="24"/>
        </w:rPr>
      </w:pPr>
      <w:r w:rsidR="0A1F39D1" w:rsidRPr="0A1F39D1">
        <w:rPr>
          <w:rFonts w:ascii="Calibri" w:cs="Calibri" w:eastAsia="Calibri" w:hAnsi="Calibri" w:hAnsiTheme="minorAscii" w:eastAsiaTheme="minorAscii" w:cstheme="minorAscii"/>
          <w:sz w:val="24"/>
          <w:szCs w:val="24"/>
        </w:rPr>
        <w:t xml:space="preserve">While the talk will be brief, just 5 minutes, it must be relevant to both the vet team and the wider community; some of whom may never have heard of </w:t>
      </w:r>
      <w:bookmarkStart w:name="_Int_vZCIQWjK" w:id="1221410095"/>
      <w:r w:rsidR="0A1F39D1" w:rsidRPr="0A1F39D1">
        <w:rPr>
          <w:rFonts w:ascii="Calibri" w:cs="Calibri" w:eastAsia="Calibri" w:hAnsi="Calibri" w:hAnsiTheme="minorAscii" w:eastAsiaTheme="minorAscii" w:cstheme="minorAscii"/>
          <w:sz w:val="24"/>
          <w:szCs w:val="24"/>
        </w:rPr>
        <w:t>the VFD</w:t>
      </w:r>
      <w:bookmarkEnd w:id="1221410095"/>
      <w:r w:rsidR="0A1F39D1" w:rsidRPr="0A1F39D1">
        <w:rPr>
          <w:rFonts w:ascii="Calibri" w:cs="Calibri" w:eastAsia="Calibri" w:hAnsi="Calibri" w:hAnsiTheme="minorAscii" w:eastAsiaTheme="minorAscii" w:cstheme="minorAscii"/>
          <w:sz w:val="24"/>
          <w:szCs w:val="24"/>
        </w:rPr>
        <w:t xml:space="preserve"> or </w:t>
      </w:r>
      <w:bookmarkStart w:name="_Int_2xFbGZyJ" w:id="300878556"/>
      <w:r w:rsidR="0A1F39D1" w:rsidRPr="0A1F39D1">
        <w:rPr>
          <w:rFonts w:ascii="Calibri" w:cs="Calibri" w:eastAsia="Calibri" w:hAnsi="Calibri" w:hAnsiTheme="minorAscii" w:eastAsiaTheme="minorAscii" w:cstheme="minorAscii"/>
          <w:sz w:val="24"/>
          <w:szCs w:val="24"/>
        </w:rPr>
        <w:t>honey bee</w:t>
      </w:r>
      <w:bookmarkEnd w:id="300878556"/>
      <w:r w:rsidR="0A1F39D1" w:rsidRPr="0A1F39D1">
        <w:rPr>
          <w:rFonts w:ascii="Calibri" w:cs="Calibri" w:eastAsia="Calibri" w:hAnsi="Calibri" w:hAnsiTheme="minorAscii" w:eastAsiaTheme="minorAscii" w:cstheme="minorAscii"/>
          <w:sz w:val="24"/>
          <w:szCs w:val="24"/>
        </w:rPr>
        <w:t xml:space="preserve"> diseases before. Each candidate will come </w:t>
      </w:r>
      <w:bookmarkStart w:name="_Int_f4swLMn6" w:id="1098104015"/>
      <w:r w:rsidR="0A1F39D1" w:rsidRPr="0A1F39D1">
        <w:rPr>
          <w:rFonts w:ascii="Calibri" w:cs="Calibri" w:eastAsia="Calibri" w:hAnsi="Calibri" w:hAnsiTheme="minorAscii" w:eastAsiaTheme="minorAscii" w:cstheme="minorAscii"/>
          <w:sz w:val="24"/>
          <w:szCs w:val="24"/>
        </w:rPr>
        <w:t>at</w:t>
      </w:r>
      <w:bookmarkEnd w:id="1098104015"/>
      <w:r w:rsidR="0A1F39D1" w:rsidRPr="0A1F39D1">
        <w:rPr>
          <w:rFonts w:ascii="Calibri" w:cs="Calibri" w:eastAsia="Calibri" w:hAnsi="Calibri" w:hAnsiTheme="minorAscii" w:eastAsiaTheme="minorAscii" w:cstheme="minorAscii"/>
          <w:sz w:val="24"/>
          <w:szCs w:val="24"/>
        </w:rPr>
        <w:t xml:space="preserve"> this assignment with their own perspective and style. Listen carefully and enjoy what they have to offer. </w:t>
      </w:r>
    </w:p>
    <w:p w:rsidR="0A1F39D1" w:rsidRDefault="0A1F39D1" w14:paraId="5E8A8B78" w14:textId="2018675A" w:rsidP="0A1F39D1">
      <w:pPr>
        <w:pStyle w:val="Normal"/>
        <w:rPr>
          <w:rFonts w:ascii="Calibri" w:cs="Calibri" w:eastAsia="Calibri" w:hAnsi="Calibri" w:hAnsiTheme="minorAscii" w:eastAsiaTheme="minorAscii" w:cstheme="minorAscii"/>
          <w:sz w:val="24"/>
          <w:szCs w:val="24"/>
        </w:rPr>
      </w:pPr>
      <w:r w:rsidR="0A1F39D1" w:rsidRPr="0A1F39D1">
        <w:rPr>
          <w:rFonts w:ascii="Calibri" w:cs="Calibri" w:eastAsia="Calibri" w:hAnsi="Calibri" w:hAnsiTheme="minorAscii" w:eastAsiaTheme="minorAscii" w:cstheme="minorAscii"/>
          <w:sz w:val="24"/>
          <w:szCs w:val="24"/>
        </w:rPr>
        <w:t>The presentation should touch on these major points:</w:t>
      </w:r>
    </w:p>
    <w:p w:rsidR="0A1F39D1" w:rsidRDefault="0A1F39D1" w14:paraId="0400007D" w14:textId="106AA260" w:rsidP="3F51EAC1">
      <w:pPr>
        <w:pStyle w:val="Normal"/>
        <w:rPr>
          <w:bCs w:val="0"/>
          <w:iCs w:val="0"/>
          <w:noProof w:val="0"/>
          <w:lang w:val="en"/>
          <w:b w:val="0"/>
          <w:i w:val="0"/>
          <w:color w:val="4D5156"/>
          <w:rFonts w:ascii="Calibri" w:cs="Calibri" w:eastAsia="Calibri" w:hAnsi="Calibri" w:hAnsiTheme="minorAscii" w:eastAsiaTheme="minorAscii" w:cstheme="minorAscii"/>
          <w:sz w:val="24"/>
          <w:szCs w:val="24"/>
          <w:smallCaps w:val="0"/>
          <w:caps w:val="0"/>
        </w:rPr>
      </w:pPr>
      <w:r w:rsidR="3F51EAC1" w:rsidRPr="3F51EAC1">
        <w:rPr>
          <w:bCs w:val="1"/>
          <w:b/>
          <w:rFonts w:ascii="Calibri" w:cs="Calibri" w:eastAsia="Calibri" w:hAnsi="Calibri" w:hAnsiTheme="minorAscii" w:eastAsiaTheme="minorAscii" w:cstheme="minorAscii"/>
          <w:sz w:val="24"/>
          <w:szCs w:val="24"/>
        </w:rPr>
        <w:t xml:space="preserve">VFD (Veterinary Feed Directive) definition: </w:t>
      </w:r>
      <w:r>
        <w:br/>
      </w:r>
      <w:r w:rsidR="3F51EAC1" w:rsidRPr="3F51EAC1">
        <w:rPr>
          <w:bCs w:val="0"/>
          <w:iCs w:val="0"/>
          <w:noProof w:val="0"/>
          <w:lang w:val="en"/>
          <w:b w:val="0"/>
          <w:i w:val="0"/>
          <w:color w:val="4D5156"/>
          <w:rFonts w:ascii="Calibri" w:cs="Calibri" w:eastAsia="Calibri" w:hAnsi="Calibri" w:hAnsiTheme="minorAscii" w:eastAsiaTheme="minorAscii" w:cstheme="minorAscii"/>
          <w:sz w:val="24"/>
          <w:szCs w:val="24"/>
          <w:smallCaps w:val="0"/>
          <w:caps w:val="0"/>
        </w:rPr>
        <w:t xml:space="preserve">A Veterinary Feed Directive (VFD) is, under the law of the United States, </w:t>
      </w:r>
      <w:r w:rsidR="3F51EAC1" w:rsidRPr="3F51EAC1">
        <w:rPr>
          <w:bCs w:val="0"/>
          <w:iCs w:val="0"/>
          <w:noProof w:val="0"/>
          <w:lang w:val="en"/>
          <w:b w:val="0"/>
          <w:i w:val="0"/>
          <w:color w:val="040C28"/>
          <w:rFonts w:ascii="Calibri" w:cs="Calibri" w:eastAsia="Calibri" w:hAnsi="Calibri" w:hAnsiTheme="minorAscii" w:eastAsiaTheme="minorAscii" w:cstheme="minorAscii"/>
          <w:sz w:val="24"/>
          <w:szCs w:val="24"/>
          <w:smallCaps w:val="0"/>
          <w:caps w:val="0"/>
        </w:rPr>
        <w:t xml:space="preserve">a </w:t>
      </w:r>
      <w:r w:rsidR="3F51EAC1" w:rsidRPr="3F51EAC1">
        <w:rPr>
          <w:bCs w:val="1"/>
          <w:iCs w:val="0"/>
          <w:noProof w:val="0"/>
          <w:lang w:val="en"/>
          <w:b/>
          <w:i w:val="0"/>
          <w:color w:val="040C28"/>
          <w:rFonts w:ascii="Calibri" w:cs="Calibri" w:eastAsia="Calibri" w:hAnsi="Calibri" w:hAnsiTheme="minorAscii" w:eastAsiaTheme="minorAscii" w:cstheme="minorAscii"/>
          <w:sz w:val="24"/>
          <w:szCs w:val="24"/>
          <w:smallCaps w:val="0"/>
          <w:caps w:val="0"/>
        </w:rPr>
        <w:t xml:space="preserve">written </w:t>
      </w:r>
      <w:r w:rsidR="3F51EAC1" w:rsidRPr="3F51EAC1">
        <w:rPr>
          <w:bCs w:val="0"/>
          <w:iCs w:val="0"/>
          <w:noProof w:val="0"/>
          <w:lang w:val="en"/>
          <w:b w:val="0"/>
          <w:i w:val="0"/>
          <w:color w:val="040C28"/>
          <w:rFonts w:ascii="Calibri" w:cs="Calibri" w:eastAsia="Calibri" w:hAnsi="Calibri" w:hAnsiTheme="minorAscii" w:eastAsiaTheme="minorAscii" w:cstheme="minorAscii"/>
          <w:sz w:val="24"/>
          <w:szCs w:val="24"/>
          <w:smallCaps w:val="0"/>
          <w:caps w:val="0"/>
        </w:rPr>
        <w:t>authorization allowing animal keepers to obtain and use animal</w:t>
      </w:r>
      <w:r w:rsidR="3F51EAC1" w:rsidRPr="3F51EAC1">
        <w:rPr>
          <w:bCs w:val="1"/>
          <w:iCs w:val="0"/>
          <w:noProof w:val="0"/>
          <w:lang w:val="en"/>
          <w:b/>
          <w:i w:val="0"/>
          <w:color w:val="040C28"/>
          <w:rFonts w:ascii="Calibri" w:cs="Calibri" w:eastAsia="Calibri" w:hAnsi="Calibri" w:hAnsiTheme="minorAscii" w:eastAsiaTheme="minorAscii" w:cstheme="minorAscii"/>
          <w:sz w:val="24"/>
          <w:szCs w:val="24"/>
          <w:smallCaps w:val="0"/>
          <w:caps w:val="0"/>
        </w:rPr>
        <w:t xml:space="preserve"> feed </w:t>
      </w:r>
      <w:r w:rsidR="3F51EAC1" w:rsidRPr="3F51EAC1">
        <w:rPr>
          <w:bCs w:val="0"/>
          <w:iCs w:val="0"/>
          <w:noProof w:val="0"/>
          <w:lang w:val="en"/>
          <w:b w:val="0"/>
          <w:i w:val="0"/>
          <w:color w:val="040C28"/>
          <w:rFonts w:ascii="Calibri" w:cs="Calibri" w:eastAsia="Calibri" w:hAnsi="Calibri" w:hAnsiTheme="minorAscii" w:eastAsiaTheme="minorAscii" w:cstheme="minorAscii"/>
          <w:sz w:val="24"/>
          <w:szCs w:val="24"/>
          <w:smallCaps w:val="0"/>
          <w:caps w:val="0"/>
        </w:rPr>
        <w:t>containing specified antibiotics in accordance with Food and Drug Administration (FDA) approved directions for use</w:t>
      </w:r>
      <w:r w:rsidR="3F51EAC1" w:rsidRPr="3F51EAC1">
        <w:rPr>
          <w:bCs w:val="0"/>
          <w:iCs w:val="0"/>
          <w:noProof w:val="0"/>
          <w:lang w:val="en"/>
          <w:b w:val="0"/>
          <w:i w:val="0"/>
          <w:color w:val="4D5156"/>
          <w:rFonts w:ascii="Calibri" w:cs="Calibri" w:eastAsia="Calibri" w:hAnsi="Calibri" w:hAnsiTheme="minorAscii" w:eastAsiaTheme="minorAscii" w:cstheme="minorAscii"/>
          <w:sz w:val="24"/>
          <w:szCs w:val="24"/>
          <w:smallCaps w:val="0"/>
          <w:caps w:val="0"/>
        </w:rPr>
        <w:t>.</w:t>
      </w:r>
    </w:p>
    <w:p w:rsidR="0A1F39D1" w:rsidRDefault="0A1F39D1" w14:paraId="480CE425" w14:textId="5A2D5115" w:rsidP="0A1F39D1">
      <w:pPr>
        <w:pStyle w:val="Normal"/>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pP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The VFD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final rule </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outlines the</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 process </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for authorizing use of VFD drugs ...and provides veterinarians in all states with a framework for authorizing the use of medically important antimicrobials in feed when needed for specific animal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health </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purposes. ~FDA</w:t>
      </w:r>
    </w:p>
    <w:p w:rsidR="0A1F39D1" w:rsidRDefault="0A1F39D1" w14:paraId="53CDABAF" w14:textId="24ECAC68" w:rsidP="0A1F39D1">
      <w:pPr>
        <w:pStyle w:val="Normal"/>
        <w:rPr>
          <w:bCs w:val="1"/>
          <w:iCs w:val="0"/>
          <w:noProof w:val="0"/>
          <w:lang w:val="en"/>
          <w:b/>
          <w:i w:val="0"/>
          <w:color w:val="333333"/>
          <w:rFonts w:ascii="Calibri" w:cs="Calibri" w:eastAsia="Calibri" w:hAnsi="Calibri" w:hAnsiTheme="minorAscii" w:eastAsiaTheme="minorAscii" w:cstheme="minorAscii"/>
          <w:sz w:val="24"/>
          <w:szCs w:val="24"/>
          <w:smallCaps w:val="0"/>
          <w:caps w:val="0"/>
        </w:rPr>
      </w:pP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~In order for a Veterinary Feed Directive (VFD) to be lawful, the issuing veterinarian must meet a couple of requirements, including valid licensure and  issuing the VFD in the context of a valid veterinarian-client patient relationship (VCPR).</w:t>
      </w:r>
    </w:p>
    <w:p w:rsidR="0A1F39D1" w:rsidRDefault="0A1F39D1" w14:paraId="36702CF4" w14:textId="162FB320" w:rsidP="0A1F39D1">
      <w:pPr>
        <w:pStyle w:val="Normal"/>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pP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VCPR (Veterinarian-Client-patient-relationship)</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 : Key elements include</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 that the veterinarian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engage </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with the client (the beekeeper) to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assume responsibility</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 for making clinical judgments about patient (the colony) health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have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sufficient knowledge of the patient </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by virtue of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patient examination and/or visits to the apiary </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where the patient is managed </w:t>
      </w:r>
      <w:r w:rsidR="0A1F39D1" w:rsidRPr="0A1F39D1">
        <w:rPr>
          <w:bCs w:val="1"/>
          <w:iCs w:val="0"/>
          <w:noProof w:val="0"/>
          <w:lang w:val="en"/>
          <w:b/>
          <w:i w:val="0"/>
          <w:color w:val="333333"/>
          <w:rFonts w:ascii="Calibri" w:cs="Calibri" w:eastAsia="Calibri" w:hAnsi="Calibri" w:hAnsiTheme="minorAscii" w:eastAsiaTheme="minorAscii" w:cstheme="minorAscii"/>
          <w:sz w:val="24"/>
          <w:szCs w:val="24"/>
          <w:smallCaps w:val="0"/>
          <w:caps w:val="0"/>
        </w:rPr>
        <w:t>*</w:t>
      </w:r>
      <w:r w:rsidR="0A1F39D1" w:rsidRPr="0A1F39D1">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provide for any necessary follow-up evaluation or care, including managing adverse reactions. </w:t>
      </w:r>
      <w:r>
        <w:rPr>
          <w:b/>
          <w:i w:val="0"/>
          <w:color w:val="333333"/>
          <w:rFonts w:ascii="Calibri"/>
          <w:sz w:val="24"/>
          <w:smallCaps w:val="0"/>
          <w:caps w:val="0"/>
        </w:rPr>
        <w:t>Does the State or Federal VCPR Definition Apply to a Lawful VFD in my State?</w:t>
      </w:r>
    </w:p>
    <w:p w:rsidR="0A1F39D1" w:rsidRDefault="0A1F39D1" w14:paraId="6FE4EA4C" w14:textId="31CCE414" w:rsidP="200BD56A">
      <w:pPr>
        <w:pStyle w:val="Normal"/>
        <w:spacing w:before="0" w:beforeAutospacing="0"/>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pPr>
      <w:r w:rsidR="200BD56A" w:rsidRPr="200BD56A">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 This information is available online and was last updated in 2021. Please refer to your state directly for the most up to date information; states which lack key elements of the FDA defined VCPR are required to use the Federally-defined VCPR. </w:t>
      </w:r>
    </w:p>
    <w:p w:rsidR="0A1F39D1" w:rsidRDefault="0A1F39D1" w14:paraId="28905B6E" w14:textId="6E7FB699" w:rsidP="200BD56A">
      <w:pPr>
        <w:pStyle w:val="Normal"/>
        <w:spacing w:before="0" w:beforeAutospacing="0"/>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pPr>
      <w:r w:rsidR="200BD56A" w:rsidRPr="200BD56A">
        <w:rPr>
          <w:bCs w:val="1"/>
          <w:iCs w:val="0"/>
          <w:noProof w:val="0"/>
          <w:lang w:val="en"/>
          <w:b/>
          <w:i w:val="0"/>
          <w:color w:val="333333"/>
          <w:rFonts w:ascii="Calibri" w:cs="Calibri" w:eastAsia="Calibri" w:hAnsi="Calibri" w:hAnsiTheme="minorAscii" w:eastAsiaTheme="minorAscii" w:cstheme="minorAscii"/>
          <w:sz w:val="24"/>
          <w:szCs w:val="24"/>
          <w:smallCaps w:val="0"/>
          <w:caps w:val="0"/>
        </w:rPr>
        <w:t xml:space="preserve">EFB ( European Foulbrood): </w:t>
      </w:r>
      <w:r w:rsidR="200BD56A" w:rsidRPr="200BD56A">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 A highly contagious bacterial  disease (</w:t>
      </w:r>
      <w:r w:rsidR="200BD56A" w:rsidRPr="200BD56A">
        <w:rPr>
          <w:bCs w:val="0"/>
          <w:iCs w:val="1"/>
          <w:noProof w:val="0"/>
          <w:lang w:val="en"/>
          <w:b w:val="0"/>
          <w:i/>
          <w:color w:val="333333"/>
          <w:rFonts w:ascii="Calibri" w:cs="Calibri" w:eastAsia="Calibri" w:hAnsi="Calibri" w:hAnsiTheme="minorAscii" w:eastAsiaTheme="minorAscii" w:cstheme="minorAscii"/>
          <w:sz w:val="24"/>
          <w:szCs w:val="24"/>
          <w:smallCaps w:val="0"/>
          <w:caps w:val="0"/>
        </w:rPr>
        <w:t>Melissococcus plutonius)</w:t>
      </w:r>
      <w:r w:rsidR="200BD56A" w:rsidRPr="200BD56A">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t xml:space="preserve"> that affects honey bee larvae. EFB is introduced and spread by worker bees as pathogens are mixed with bee bread, nectar and/or diluted honey and then fed to young larvae. The bacteria  then replicate in the midgut, killing the larvae within 4-5 days,  typically before the cell is sealed. Bacteria are moved by bees during house chores, by beekeepers on tools and clothing, and through drifting and robbing.  Feeding sugar syrup to strengthen the colony,  requeening with hygienic stock , and diseased frame removal and destruction are all  recommended; </w:t>
      </w:r>
      <w:r w:rsidR="200BD56A" w:rsidRPr="200BD56A">
        <w:rPr>
          <w:bCs w:val="0"/>
          <w:iCs w:val="0"/>
          <w:noProof w:val="0"/>
          <w:lang w:val="en"/>
          <w:b w:val="0"/>
          <w:i w:val="0"/>
          <w:color w:val="4D5156"/>
          <w:rFonts w:ascii="Google Sans" w:cs="Google Sans" w:eastAsia="Google Sans" w:hAnsi="Google Sans"/>
          <w:sz w:val="24"/>
          <w:szCs w:val="24"/>
          <w:smallCaps w:val="0"/>
          <w:caps w:val="0"/>
        </w:rPr>
        <w:t xml:space="preserve">EFB infected colonies </w:t>
      </w:r>
      <w:r w:rsidR="200BD56A" w:rsidRPr="200BD56A">
        <w:rPr>
          <w:bCs w:val="1"/>
          <w:iCs w:val="0"/>
          <w:noProof w:val="0"/>
          <w:lang w:val="en"/>
          <w:b/>
          <w:i w:val="0"/>
          <w:color w:val="4D5156"/>
          <w:rFonts w:ascii="Google Sans" w:cs="Google Sans" w:eastAsia="Google Sans" w:hAnsi="Google Sans"/>
          <w:sz w:val="24"/>
          <w:szCs w:val="24"/>
          <w:smallCaps w:val="0"/>
          <w:caps w:val="0"/>
        </w:rPr>
        <w:t>can</w:t>
      </w:r>
      <w:r w:rsidR="200BD56A" w:rsidRPr="200BD56A">
        <w:rPr>
          <w:bCs w:val="0"/>
          <w:iCs w:val="0"/>
          <w:noProof w:val="0"/>
          <w:lang w:val="en"/>
          <w:b w:val="0"/>
          <w:i w:val="0"/>
          <w:color w:val="4D5156"/>
          <w:rFonts w:ascii="Google Sans" w:cs="Google Sans" w:eastAsia="Google Sans" w:hAnsi="Google Sans"/>
          <w:sz w:val="24"/>
          <w:szCs w:val="24"/>
          <w:smallCaps w:val="0"/>
          <w:caps w:val="0"/>
        </w:rPr>
        <w:t xml:space="preserve"> be treated as a last resort with an antibiotic (oxytetracycline, Terramycin), by order of a veterinarian through a distributor of VFD medicated feed. </w:t>
      </w:r>
    </w:p>
    <w:p w:rsidR="0A1F39D1" w:rsidRDefault="0A1F39D1" w14:paraId="5E5EC70C" w14:textId="15E4374A" w:rsidP="0A1F39D1">
      <w:pPr>
        <w:pStyle w:val="Normal"/>
        <w:rPr>
          <w:noProof w:val="0"/>
          <w:lang w:val="en"/>
        </w:rPr>
      </w:pPr>
    </w:p>
    <w:p w:rsidR="0A1F39D1" w:rsidRDefault="0A1F39D1" w14:paraId="540DD557" w14:textId="379694D0" w:rsidP="0A1F39D1">
      <w:pPr>
        <w:pStyle w:val="Normal"/>
        <w:rPr>
          <w:bCs w:val="0"/>
          <w:iCs w:val="0"/>
          <w:noProof w:val="0"/>
          <w:lang w:val="en"/>
          <w:b w:val="0"/>
          <w:i w:val="0"/>
          <w:color w:val="333333"/>
          <w:rFonts w:ascii="Calibri" w:cs="Calibri" w:eastAsia="Calibri" w:hAnsi="Calibri" w:hAnsiTheme="minorAscii" w:eastAsiaTheme="minorAscii" w:cstheme="minorAscii"/>
          <w:sz w:val="24"/>
          <w:szCs w:val="24"/>
          <w:smallCaps w:val="0"/>
          <w:caps w:val="0"/>
        </w:rPr>
      </w:pPr>
    </w:p>
    <w:p w:rsidR="0A1F39D1" w:rsidRDefault="0A1F39D1" w14:paraId="55FAAB3E" w14:textId="1091668F" w:rsidP="0A1F39D1">
      <w:pPr>
        <w:pStyle w:val="Normal"/>
        <w:rPr>
          <w:bCs w:val="0"/>
          <w:iCs w:val="0"/>
          <w:noProof w:val="0"/>
          <w:lang w:val="en"/>
          <w:b w:val="0"/>
          <w:i w:val="0"/>
          <w:color w:val="333333"/>
          <w:rFonts w:ascii="Georgia" w:cs="Georgia" w:eastAsia="Georgia" w:hAnsi="Georgia"/>
          <w:sz w:val="27"/>
          <w:szCs w:val="27"/>
          <w:smallCaps w:val="0"/>
          <w:caps w:val="0"/>
        </w:rPr>
      </w:pPr>
    </w:p>
    <w:p w:rsidR="0A1F39D1" w:rsidRDefault="0A1F39D1" w14:paraId="62D1B164" w14:textId="6ECC6932" w:rsidP="0A1F39D1">
      <w:pPr>
        <w:pStyle w:val="Normal"/>
        <w:rPr>
          <w:bCs w:val="0"/>
          <w:iCs w:val="0"/>
          <w:noProof w:val="0"/>
          <w:lang w:val="en"/>
          <w:b w:val="0"/>
          <w:i w:val="0"/>
          <w:color w:val="333333"/>
          <w:rFonts w:ascii="Georgia" w:cs="Georgia" w:eastAsia="Georgia" w:hAnsi="Georgia"/>
          <w:sz w:val="27"/>
          <w:szCs w:val="27"/>
          <w:smallCaps w:val="0"/>
          <w:caps w:val="0"/>
        </w:rPr>
      </w:pPr>
      <w:r w:rsidR="0A1F39D1" w:rsidRPr="0A1F39D1">
        <w:rPr>
          <w:bCs w:val="0"/>
          <w:iCs w:val="0"/>
          <w:noProof w:val="0"/>
          <w:lang w:val="en"/>
          <w:b w:val="0"/>
          <w:i w:val="0"/>
          <w:color w:val="333333"/>
          <w:rFonts w:ascii="Georgia" w:cs="Georgia" w:eastAsia="Georgia" w:hAnsi="Georgia"/>
          <w:sz w:val="27"/>
          <w:szCs w:val="27"/>
          <w:smallCaps w:val="0"/>
          <w:caps w:val="0"/>
        </w:rPr>
        <w:t xml:space="preserve"> </w:t>
      </w:r>
    </w:p>
    <w:p w:rsidR="0A1F39D1" w:rsidRDefault="0A1F39D1" w14:paraId="634976EE" w14:textId="02FE500B" w:rsidP="0A1F39D1">
      <w:pPr>
        <w:pStyle w:val="Normal"/>
      </w:pPr>
    </w:p>
    <w:p w:rsidR="0A1F39D1" w:rsidRDefault="0A1F39D1" w14:paraId="686B3554" w14:textId="2045B793" w:rsidP="0A1F39D1">
      <w:pPr>
        <w:pStyle w:val="Normal"/>
      </w:pPr>
    </w:p>
    <w:p w:rsidR="0A1F39D1" w:rsidRDefault="0A1F39D1" w14:paraId="676267DF" w14:textId="6B692884" w:rsidP="0A1F39D1">
      <w:pPr>
        <w:pStyle w:val="Normal"/>
      </w:pPr>
    </w:p>
    <w:p w:rsidR="0A1F39D1" w:rsidRDefault="0A1F39D1" w14:paraId="17B0717A" w14:textId="0E7216FC" w:rsidP="0A1F39D1">
      <w:pPr>
        <w:pStyle w:val="Normal"/>
      </w:pPr>
    </w:p>
    <w:sectPr>
      <w:docGrid w:linePitch="360"/>
      <w:pgSz w:w="12240" w:h="15840" w:orient="portrait"/>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ogle Sans"/>
  <w:font w:name="Georgia"/>
  <w:font w:name="Cambria"/>
  <w:font w:name="Symbol"/>
  <w:font w:name="Courier New"/>
  <w:font w:name="Arial"/>
</w:fonts>
</file>

<file path=word/intelligence2.xml><?xml version="1.0" encoding="utf-8"?>
<int2:intelligence xmlns:int2="http://schemas.microsoft.com/office/intelligence/2020/intelligence">
  <int2:observations>
    <int2:bookmark int2:bookmarkName="_Int_2xFbGZyJ" int2:invalidationBookmarkName="" int2:hashCode="q2doew4Utm20+H" int2:id="n1NFlPaw">
      <int2:state int2:type="AugLoop_Text_Critique" int2:value="Rejected"/>
    </int2:bookmark>
    <int2:bookmark int2:bookmarkName="_Int_vZCIQWjK" int2:invalidationBookmarkName="" int2:hashCode="q5e+Y2w/xRMuT8" int2:id="IR9Kaz0D">
      <int2:state int2:type="AugLoop_Text_Critique" int2:value="Rejected"/>
    </int2:bookmark>
    <int2:bookmark int2:bookmarkName="_Int_f4swLMn6" int2:invalidationBookmarkName="" int2:hashCode="J+kN+lfDWKz69H" int2:id="0ZiWVuBJ">
      <int2:state int2:type="AugLoop_Text_Critique" int2:value="Rejected"/>
    </int2:bookmark>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594B"/>
  <w15:chartTrackingRefBased/>
  <w15:docId w15:val="{C9430385-E1FE-49E2-8900-BA37D05F9B10}"/>
  <w:rsids>
    <w:rsidRoot val="00A0594B"/>
    <w:rsid val="00A0594B"/>
    <w:rsid val="0A1F39D1"/>
    <w:rsid val="200BD56A"/>
    <w:rsid val="3F51EAC1"/>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eading1Char">
    <w:name w:val="Heading 1 Char"/>
    <w:basedOn w:val="DefaultParagraphFont"/>
    <w:link xmlns:w="http://schemas.openxmlformats.org/wordprocessingml/2006/main" w:val="Heading1"/>
    <w:uiPriority xmlns:w="http://schemas.openxmlformats.org/wordprocessingml/2006/main" w:val="9"/>
    <w:rPr xmlns:w="http://schemas.openxmlformats.org/wordprocessingml/2006/main">
      <w:color w:val="2E74B5"/>
      <w:rFonts w:ascii="Calibri Light" w:hAnsiTheme="majorHAnsi" w:eastAsiaTheme="majorEastAsia" w:cstheme="majorBidi"/>
      <w:sz w:val="32"/>
      <w:szCs w:val="32"/>
    </w:rPr>
  </w:style>
  <w:style xmlns:w="http://schemas.openxmlformats.org/wordprocessingml/2006/main" w:type="paragraph" w:styleId="Heading1">
    <w:name w:val="Heading 1"/>
    <w:qFormat/>
    <w:basedOn w:val="Normal"/>
    <w:next xmlns:w="http://schemas.openxmlformats.org/wordprocessingml/2006/main" w:val="Normal"/>
    <w:link xmlns:w="http://schemas.openxmlformats.org/wordprocessingml/2006/main" w:val="Heading1Char"/>
    <w:uiPriority xmlns:w="http://schemas.openxmlformats.org/wordprocessingml/2006/main" w:val="9"/>
    <w:pPr xmlns:w="http://schemas.openxmlformats.org/wordprocessingml/2006/main">
      <w:keepNext xmlns:w="http://schemas.openxmlformats.org/wordprocessingml/2006/main"/>
      <w:keepLines xmlns:w="http://schemas.openxmlformats.org/wordprocessingml/2006/main"/>
      <w:outlineLvl xmlns:w="http://schemas.openxmlformats.org/wordprocessingml/2006/main" w:val="0"/>
      <w:spacing w:before="240" w:after="0"/>
    </w:pPr>
    <w:rPr xmlns:w="http://schemas.openxmlformats.org/wordprocessingml/2006/main">
      <w:color w:val="2E74B5"/>
      <w:rFonts w:ascii="Calibri Light" w:hAnsiTheme="majorHAnsi" w:eastAsiaTheme="majorEastAsia" w:cstheme="majorBidi"/>
      <w:sz w:val="32"/>
      <w:szCs w:val="32"/>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ed785784719041f2" Type="http://schemas.microsoft.com/office/2020/10/relationships/intelligence" Target="intelligence2.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2023-07-22T23:06:31.7759680Z</dcterms:created>
  <dcterms:modified xsi:type="dcterms:W3CDTF">2023-07-26T18:17:20.2455736Z</dcterms:modified>
  <dc:creator>Dorinda Priebe</dc:creator>
  <lastModifiedBy>Dorinda Priebe</lastModifiedBy>
</coreProperties>
</file>